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66B9D"/>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2023-06-15T02:27:00Z</dcterms:modified>
</cp:coreProperties>
</file>