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4A2FD1" w:rsidRDefault="004A2FD1" w:rsidP="000705FB">
      <w:pPr>
        <w:pStyle w:val="paragraph"/>
        <w:spacing w:before="0" w:beforeAutospacing="0" w:after="0" w:afterAutospacing="0"/>
        <w:ind w:left="720" w:hangingChars="300" w:hanging="720"/>
        <w:textAlignment w:val="baseline"/>
      </w:pPr>
    </w:p>
    <w:p w14:paraId="7A64AA60" w14:textId="5954BE27" w:rsidR="00C40AEF" w:rsidRPr="00564288"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4F71" w14:textId="77777777" w:rsidR="007C5953" w:rsidRDefault="007C5953" w:rsidP="003C0825">
      <w:r>
        <w:separator/>
      </w:r>
    </w:p>
  </w:endnote>
  <w:endnote w:type="continuationSeparator" w:id="0">
    <w:p w14:paraId="6D9E1E91" w14:textId="77777777" w:rsidR="007C5953" w:rsidRDefault="007C5953" w:rsidP="003C0825">
      <w:r>
        <w:continuationSeparator/>
      </w:r>
    </w:p>
  </w:endnote>
  <w:endnote w:type="continuationNotice" w:id="1">
    <w:p w14:paraId="495E1B68" w14:textId="77777777" w:rsidR="007C5953" w:rsidRDefault="007C5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218C" w14:textId="77777777" w:rsidR="007C5953" w:rsidRDefault="007C5953" w:rsidP="003C0825">
      <w:r>
        <w:separator/>
      </w:r>
    </w:p>
  </w:footnote>
  <w:footnote w:type="continuationSeparator" w:id="0">
    <w:p w14:paraId="20B71968" w14:textId="77777777" w:rsidR="007C5953" w:rsidRDefault="007C5953" w:rsidP="003C0825">
      <w:r>
        <w:continuationSeparator/>
      </w:r>
    </w:p>
  </w:footnote>
  <w:footnote w:type="continuationNotice" w:id="1">
    <w:p w14:paraId="2B39FDD9" w14:textId="77777777" w:rsidR="007C5953" w:rsidRDefault="007C5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游ゴシック" w:eastAsia="游ゴシック" w:hAnsi="游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B99"/>
    <w:rsid w:val="00CF329E"/>
    <w:rsid w:val="00D014F1"/>
    <w:rsid w:val="00D060A6"/>
    <w:rsid w:val="00D06EB0"/>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customXml/itemProps2.xml><?xml version="1.0" encoding="utf-8"?>
<ds:datastoreItem xmlns:ds="http://schemas.openxmlformats.org/officeDocument/2006/customXml" ds:itemID="{11CE9C13-F7E6-43F0-B4BD-61E963DC8D39}">
  <ds:schemaRefs>
    <ds:schemaRef ds:uri="http://schemas.microsoft.com/sharepoint/v3/contenttype/forms"/>
  </ds:schemaRefs>
</ds:datastoreItem>
</file>

<file path=customXml/itemProps3.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4.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天田 果歩(tenda-kaho.bd8)</dc:creator>
  <cp:keywords/>
  <dc:description/>
  <cp:lastModifiedBy>下田 大道(shimoda-hiromichi)</cp:lastModifiedBy>
  <cp:revision>8</cp:revision>
  <cp:lastPrinted>2026-04-07T08:41:00Z</cp:lastPrinted>
  <dcterms:created xsi:type="dcterms:W3CDTF">2026-04-13T00:22:00Z</dcterms:created>
  <dcterms:modified xsi:type="dcterms:W3CDTF">2026-04-13T07:33:00Z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